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EFC9" w14:textId="77777777" w:rsidR="00E210F5" w:rsidRPr="009D4F92" w:rsidRDefault="00E210F5" w:rsidP="00E210F5">
      <w:pPr>
        <w:jc w:val="center"/>
        <w:rPr>
          <w:b/>
          <w:color w:val="FF0000"/>
        </w:rPr>
      </w:pPr>
      <w:r w:rsidRPr="009D4F92">
        <w:rPr>
          <w:b/>
        </w:rPr>
        <w:t>This AHA is provided as an example of content to consider during development of project-specific AHAs for like activities</w:t>
      </w:r>
    </w:p>
    <w:p w14:paraId="3467AFD6" w14:textId="77777777" w:rsidR="00E210F5" w:rsidRDefault="00E210F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14:paraId="069C9D4F" w14:textId="77777777" w:rsidTr="006B3850">
        <w:tc>
          <w:tcPr>
            <w:tcW w:w="5000" w:type="pct"/>
            <w:shd w:val="clear" w:color="auto" w:fill="auto"/>
          </w:tcPr>
          <w:p w14:paraId="08D178F7" w14:textId="77777777"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14:paraId="0BBB613A" w14:textId="39BB4919" w:rsidR="00684163" w:rsidRDefault="00CA511F" w:rsidP="000E0EA5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0E0EA5">
              <w:rPr>
                <w:rFonts w:ascii="Times New Roman" w:hAnsi="Times New Roman"/>
                <w:sz w:val="20"/>
              </w:rPr>
              <w:t xml:space="preserve">Wall demolition in accordance with </w:t>
            </w:r>
            <w:r w:rsidR="000E0EA5" w:rsidRPr="000E0EA5">
              <w:rPr>
                <w:rFonts w:ascii="Times New Roman" w:hAnsi="Times New Roman"/>
                <w:sz w:val="20"/>
              </w:rPr>
              <w:t>29 CFR 1926.850</w:t>
            </w:r>
          </w:p>
          <w:p w14:paraId="784EEB0F" w14:textId="2A2FED9D" w:rsidR="000E0EA5" w:rsidRPr="00684163" w:rsidRDefault="000E0EA5" w:rsidP="000E0EA5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14B80BE" w14:textId="77777777"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0E0EA5" w14:paraId="1DBC931B" w14:textId="77777777" w:rsidTr="006B3850">
        <w:tc>
          <w:tcPr>
            <w:tcW w:w="5000" w:type="pct"/>
            <w:gridSpan w:val="3"/>
            <w:shd w:val="clear" w:color="auto" w:fill="F2F2F2"/>
            <w:vAlign w:val="center"/>
          </w:tcPr>
          <w:p w14:paraId="0896D6D6" w14:textId="77777777" w:rsidR="005A15B9" w:rsidRPr="000E0EA5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E0EA5"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0E0EA5" w14:paraId="31FDF804" w14:textId="77777777" w:rsidTr="000E0EA5">
        <w:tc>
          <w:tcPr>
            <w:tcW w:w="1392" w:type="pct"/>
            <w:shd w:val="clear" w:color="auto" w:fill="F2F2F2"/>
            <w:vAlign w:val="center"/>
          </w:tcPr>
          <w:p w14:paraId="66643199" w14:textId="77777777" w:rsidR="005A15B9" w:rsidRPr="000E0EA5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E0EA5"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14:paraId="2CCF9CAA" w14:textId="77777777" w:rsidR="005A15B9" w:rsidRPr="000E0EA5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E0EA5"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14:paraId="33B9F6AE" w14:textId="77777777" w:rsidR="006B3850" w:rsidRPr="000E0EA5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E0EA5"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14:paraId="003951A6" w14:textId="77777777" w:rsidR="005A15B9" w:rsidRPr="000E0EA5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E0EA5"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0E0EA5" w:rsidRPr="000E0EA5" w14:paraId="0D5066D1" w14:textId="77777777" w:rsidTr="000E0EA5"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7207975" w14:textId="100CD3BC" w:rsidR="000E0EA5" w:rsidRPr="000E0EA5" w:rsidRDefault="000E0EA5" w:rsidP="000E0EA5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Assess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3E07B16" w14:textId="57238CC4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Collapse, severe injury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5DEBEF4" w14:textId="09DC2142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Competent person will conduct and document an engineering survey according to 29 CFR 1926.850(a).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This process shall be ongoing and continue at each phase of demo as necessary.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Structural engineer support will be included as necessary, especially when demolition and/or tasks involve load bearing or load limiting building features.</w:t>
            </w:r>
          </w:p>
        </w:tc>
      </w:tr>
      <w:tr w:rsidR="000E0EA5" w:rsidRPr="000E0EA5" w14:paraId="5A151997" w14:textId="77777777" w:rsidTr="000E0EA5"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852109" w14:textId="5CF4A396" w:rsidR="000E0EA5" w:rsidRPr="000E0EA5" w:rsidRDefault="000E0EA5" w:rsidP="000E0EA5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Prepare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51508D" w14:textId="30349DB1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Collapse, severe injury 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8C1BD9" w14:textId="6D924DDD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Sequential demo steps and adequate controls will be documented and communicated to demo crew and will be based on results of engineering survey.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This process shall be ongoing and continue at each phase of demo. Mechanical means shall be the targeted means of demo, unless justifiable to demo by manual means. </w:t>
            </w:r>
          </w:p>
        </w:tc>
      </w:tr>
      <w:tr w:rsidR="000E0EA5" w:rsidRPr="000E0EA5" w14:paraId="6C203519" w14:textId="77777777" w:rsidTr="000E0EA5">
        <w:trPr>
          <w:trHeight w:val="1043"/>
        </w:trPr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68393D0" w14:textId="20C20AD4" w:rsidR="000E0EA5" w:rsidRPr="000E0EA5" w:rsidRDefault="000E0EA5" w:rsidP="000E0EA5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Isolate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CA8A39" w14:textId="4F261E16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Collapse, severe injury, hazardous energy exposure 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2589B1" w14:textId="045D1F3E" w:rsidR="000E0EA5" w:rsidRPr="000E0EA5" w:rsidRDefault="000E0EA5" w:rsidP="000E0EA5">
            <w:pPr>
              <w:rPr>
                <w:rFonts w:ascii="Times New Roman" w:hAnsi="Times New Roman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The area beyond the potential collapse zone of the walls to be demolished will be isolated from non-demo personnel with danger tape, signage, and/or barricades as appropriate. 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Utilities within the demo area will be LOTO and verified as isolated. Utilities to be removed will be cut and capped.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Utilities to remain will be protected from damage. </w:t>
            </w:r>
          </w:p>
        </w:tc>
      </w:tr>
      <w:tr w:rsidR="000E0EA5" w:rsidRPr="000E0EA5" w14:paraId="55F12495" w14:textId="77777777" w:rsidTr="000E0EA5">
        <w:trPr>
          <w:trHeight w:val="1043"/>
        </w:trPr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6C4BDCA" w14:textId="6D433CFD" w:rsidR="000E0EA5" w:rsidRPr="000E0EA5" w:rsidRDefault="000E0EA5" w:rsidP="000E0EA5">
            <w:pPr>
              <w:spacing w:line="276" w:lineRule="auto"/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Brace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4B1CAFF" w14:textId="4787B6A3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Collapse, severe injury 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3C55F98" w14:textId="3C766774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As determined necessary by the engineering survey, bracing for walls will be erected to withstand incidental collapse.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Bracing will be installed against walls without entering the collapse zone of the walls when determined prudent by the engineering survey. </w:t>
            </w:r>
          </w:p>
        </w:tc>
      </w:tr>
      <w:tr w:rsidR="000E0EA5" w:rsidRPr="000E0EA5" w14:paraId="787F3114" w14:textId="77777777" w:rsidTr="000E0EA5">
        <w:trPr>
          <w:trHeight w:val="1043"/>
        </w:trPr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9EEE88" w14:textId="256B979F" w:rsidR="000E0EA5" w:rsidRPr="000E0EA5" w:rsidRDefault="000E0EA5" w:rsidP="000E0EA5">
            <w:pPr>
              <w:spacing w:line="276" w:lineRule="auto"/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Demo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C31A1AA" w14:textId="2BA4775E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Collapse, severe injury 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713AA75" w14:textId="5F842B5C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The steps and controls identified in the PREPARATION step will be implemented.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Only demo personnel will be permitted in the demo area.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A spotter will be used. No demo will occur until the spotter gives the all-clear.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The spotter will be the Demo Competent Person.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Demo will cease when the spotter or anyone identifies a change in safe working conditions.  </w:t>
            </w:r>
          </w:p>
        </w:tc>
      </w:tr>
      <w:tr w:rsidR="000E0EA5" w:rsidRPr="000E0EA5" w14:paraId="14FE258E" w14:textId="77777777" w:rsidTr="000E0EA5">
        <w:trPr>
          <w:trHeight w:val="1043"/>
        </w:trPr>
        <w:tc>
          <w:tcPr>
            <w:tcW w:w="1392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58F6746" w14:textId="6C816F2E" w:rsidR="000E0EA5" w:rsidRPr="000E0EA5" w:rsidRDefault="000E0EA5" w:rsidP="000E0EA5">
            <w:pPr>
              <w:spacing w:line="276" w:lineRule="auto"/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Control</w:t>
            </w:r>
            <w:r w:rsidR="008D716E">
              <w:rPr>
                <w:rStyle w:val="s1"/>
                <w:rFonts w:ascii="Times New Roman" w:hAnsi="Times New Roman"/>
                <w:color w:val="000000"/>
                <w:sz w:val="20"/>
              </w:rPr>
              <w:t xml:space="preserve"> </w:t>
            </w:r>
            <w:r w:rsidR="008D716E" w:rsidRPr="008D716E">
              <w:rPr>
                <w:rStyle w:val="s1"/>
                <w:rFonts w:ascii="Times New Roman" w:hAnsi="Times New Roman"/>
                <w:color w:val="000000"/>
                <w:sz w:val="20"/>
              </w:rPr>
              <w:t>Dust</w:t>
            </w:r>
          </w:p>
        </w:tc>
        <w:tc>
          <w:tcPr>
            <w:tcW w:w="1785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79A891" w14:textId="137A27FA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Exposure to respirable dust and respirable silica </w:t>
            </w:r>
          </w:p>
        </w:tc>
        <w:tc>
          <w:tcPr>
            <w:tcW w:w="1823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B44AF18" w14:textId="505C4BB4" w:rsidR="000E0EA5" w:rsidRPr="000E0EA5" w:rsidRDefault="000E0EA5" w:rsidP="000E0EA5">
            <w:pPr>
              <w:rPr>
                <w:rStyle w:val="s1"/>
                <w:rFonts w:ascii="Times New Roman" w:hAnsi="Times New Roman"/>
                <w:color w:val="000000"/>
                <w:sz w:val="20"/>
              </w:rPr>
            </w:pP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Demo will proceed in accordance with the Exposure Control Plan for the project, and in accordance with 29 CFR 1926.1153. </w:t>
            </w:r>
            <w:r w:rsidRPr="000E0EA5">
              <w:rPr>
                <w:rStyle w:val="apple-converted-space"/>
                <w:rFonts w:ascii="Times New Roman" w:hAnsi="Times New Roman"/>
                <w:color w:val="000000"/>
                <w:sz w:val="20"/>
              </w:rPr>
              <w:t> </w:t>
            </w:r>
            <w:r w:rsidRPr="000E0EA5">
              <w:rPr>
                <w:rStyle w:val="s1"/>
                <w:rFonts w:ascii="Times New Roman" w:hAnsi="Times New Roman"/>
                <w:color w:val="000000"/>
                <w:sz w:val="20"/>
              </w:rPr>
              <w:t>Controls and respiratory protection will follow Table 1 and/or exposure monitoring will be conducted. There will be no dry sweeping of dust. Additional wet and vacuum methods will be employed as necessary.  </w:t>
            </w:r>
          </w:p>
        </w:tc>
      </w:tr>
    </w:tbl>
    <w:p w14:paraId="2AA1EC35" w14:textId="77777777"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AB17" w14:textId="77777777" w:rsidR="00C23620" w:rsidRDefault="00C23620">
      <w:r>
        <w:separator/>
      </w:r>
    </w:p>
  </w:endnote>
  <w:endnote w:type="continuationSeparator" w:id="0">
    <w:p w14:paraId="46D1881D" w14:textId="77777777" w:rsidR="00C23620" w:rsidRDefault="00C2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0F78D" w14:textId="77777777" w:rsidR="00C23620" w:rsidRDefault="00C23620">
      <w:r>
        <w:separator/>
      </w:r>
    </w:p>
  </w:footnote>
  <w:footnote w:type="continuationSeparator" w:id="0">
    <w:p w14:paraId="33C16925" w14:textId="77777777" w:rsidR="00C23620" w:rsidRDefault="00C2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9A6B5" w14:textId="77777777"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6F0E1" w14:textId="77777777" w:rsidR="00CA511F" w:rsidRPr="00E210F5" w:rsidRDefault="004F35C6" w:rsidP="00E210F5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0EA5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50E95"/>
    <w:rsid w:val="00193A8D"/>
    <w:rsid w:val="00197963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81BC8"/>
    <w:rsid w:val="002920CA"/>
    <w:rsid w:val="002A150F"/>
    <w:rsid w:val="002C334E"/>
    <w:rsid w:val="002D0223"/>
    <w:rsid w:val="002D6C8C"/>
    <w:rsid w:val="00301B71"/>
    <w:rsid w:val="0035301E"/>
    <w:rsid w:val="00383B01"/>
    <w:rsid w:val="00395AED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50050"/>
    <w:rsid w:val="005502F1"/>
    <w:rsid w:val="005509C6"/>
    <w:rsid w:val="00554509"/>
    <w:rsid w:val="0057282C"/>
    <w:rsid w:val="00584F52"/>
    <w:rsid w:val="0058531D"/>
    <w:rsid w:val="005A15B9"/>
    <w:rsid w:val="005E7A5A"/>
    <w:rsid w:val="005F70D7"/>
    <w:rsid w:val="00613CDE"/>
    <w:rsid w:val="0062126E"/>
    <w:rsid w:val="006240C0"/>
    <w:rsid w:val="00640B32"/>
    <w:rsid w:val="00641ED9"/>
    <w:rsid w:val="006466D4"/>
    <w:rsid w:val="006473A3"/>
    <w:rsid w:val="00673905"/>
    <w:rsid w:val="00684163"/>
    <w:rsid w:val="006912DD"/>
    <w:rsid w:val="0069241D"/>
    <w:rsid w:val="006A12AC"/>
    <w:rsid w:val="006A7AAA"/>
    <w:rsid w:val="006B083E"/>
    <w:rsid w:val="006B3850"/>
    <w:rsid w:val="006B794F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D716E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B23EA"/>
    <w:rsid w:val="009D4F92"/>
    <w:rsid w:val="009E7A5D"/>
    <w:rsid w:val="009F0EA7"/>
    <w:rsid w:val="00A35014"/>
    <w:rsid w:val="00A76B1D"/>
    <w:rsid w:val="00A82917"/>
    <w:rsid w:val="00AB4BAE"/>
    <w:rsid w:val="00AC3B0A"/>
    <w:rsid w:val="00AC4F36"/>
    <w:rsid w:val="00AD7749"/>
    <w:rsid w:val="00AF1111"/>
    <w:rsid w:val="00AF363A"/>
    <w:rsid w:val="00B0376D"/>
    <w:rsid w:val="00B05B8D"/>
    <w:rsid w:val="00B36478"/>
    <w:rsid w:val="00B51B45"/>
    <w:rsid w:val="00B708FE"/>
    <w:rsid w:val="00B85922"/>
    <w:rsid w:val="00B86340"/>
    <w:rsid w:val="00BB5DBC"/>
    <w:rsid w:val="00BB78E0"/>
    <w:rsid w:val="00BD60B9"/>
    <w:rsid w:val="00C23620"/>
    <w:rsid w:val="00C749D4"/>
    <w:rsid w:val="00C978E8"/>
    <w:rsid w:val="00CA273F"/>
    <w:rsid w:val="00CA511F"/>
    <w:rsid w:val="00CA5C73"/>
    <w:rsid w:val="00CF41AD"/>
    <w:rsid w:val="00D0018B"/>
    <w:rsid w:val="00D11DC9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210F5"/>
    <w:rsid w:val="00E448D0"/>
    <w:rsid w:val="00E54701"/>
    <w:rsid w:val="00E623FE"/>
    <w:rsid w:val="00E7668F"/>
    <w:rsid w:val="00EA717C"/>
    <w:rsid w:val="00EE1AE5"/>
    <w:rsid w:val="00EF2136"/>
    <w:rsid w:val="00F22DF0"/>
    <w:rsid w:val="00F43D50"/>
    <w:rsid w:val="00F526C5"/>
    <w:rsid w:val="00F61915"/>
    <w:rsid w:val="00FB3502"/>
    <w:rsid w:val="00FC0A4D"/>
    <w:rsid w:val="00FE06E4"/>
    <w:rsid w:val="00F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0347F8"/>
  <w15:chartTrackingRefBased/>
  <w15:docId w15:val="{FC78BE24-7DE5-4CB4-A04B-7F8C0BF5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  <w:style w:type="character" w:customStyle="1" w:styleId="s1">
    <w:name w:val="s1"/>
    <w:basedOn w:val="DefaultParagraphFont"/>
    <w:rsid w:val="000E0EA5"/>
  </w:style>
  <w:style w:type="character" w:customStyle="1" w:styleId="apple-converted-space">
    <w:name w:val="apple-converted-space"/>
    <w:basedOn w:val="DefaultParagraphFont"/>
    <w:rsid w:val="000E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0C39-7660-4312-8B4A-AA67427C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General Carpentry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General Carpentry</dc:title>
  <dc:subject>AHA General Carpentry</dc:subject>
  <dc:creator>EHS</dc:creator>
  <cp:keywords>AHA</cp:keywords>
  <cp:lastModifiedBy>Robinson, Katherine (NIH/NCI) [C]</cp:lastModifiedBy>
  <cp:revision>2</cp:revision>
  <cp:lastPrinted>2015-07-31T15:05:00Z</cp:lastPrinted>
  <dcterms:created xsi:type="dcterms:W3CDTF">2021-07-16T11:48:00Z</dcterms:created>
  <dcterms:modified xsi:type="dcterms:W3CDTF">2021-07-16T11:48:00Z</dcterms:modified>
</cp:coreProperties>
</file>